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185" w:type="dxa"/>
        <w:tblInd w:w="0" w:type="dxa"/>
        <w:shd w:val="clear" w:color="auto" w:fill="E8E8E8"/>
        <w:tblLayout w:type="autofit"/>
        <w:tblCellMar>
          <w:top w:w="0" w:type="dxa"/>
          <w:left w:w="0" w:type="dxa"/>
          <w:bottom w:w="0" w:type="dxa"/>
          <w:right w:w="0" w:type="dxa"/>
        </w:tblCellMar>
      </w:tblPr>
      <w:tblGrid>
        <w:gridCol w:w="527"/>
        <w:gridCol w:w="791"/>
        <w:gridCol w:w="396"/>
        <w:gridCol w:w="923"/>
        <w:gridCol w:w="396"/>
        <w:gridCol w:w="527"/>
        <w:gridCol w:w="923"/>
        <w:gridCol w:w="3033"/>
        <w:gridCol w:w="923"/>
        <w:gridCol w:w="923"/>
        <w:gridCol w:w="527"/>
        <w:gridCol w:w="396"/>
        <w:gridCol w:w="659"/>
        <w:gridCol w:w="2241"/>
      </w:tblGrid>
      <w:tr>
        <w:tblPrEx>
          <w:tblCellMar>
            <w:top w:w="0" w:type="dxa"/>
            <w:left w:w="0" w:type="dxa"/>
            <w:bottom w:w="0" w:type="dxa"/>
            <w:right w:w="0" w:type="dxa"/>
          </w:tblCellMar>
        </w:tblPrEx>
        <w:tc>
          <w:tcPr>
            <w:tcW w:w="5000" w:type="pct"/>
            <w:gridSpan w:val="14"/>
            <w:tcBorders>
              <w:top w:val="dotted" w:color="AAAAAA" w:sz="6" w:space="0"/>
              <w:left w:val="dotted" w:color="AAAAAA" w:sz="6" w:space="0"/>
              <w:bottom w:val="dotted" w:color="AAAAAA" w:sz="6" w:space="0"/>
              <w:right w:val="dotted" w:color="AAAAAA" w:sz="6"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方正小标宋_GBK" w:hAnsi="方正小标宋_GBK" w:eastAsia="方正小标宋_GBK" w:cs="方正小标宋_GBK"/>
                <w:i w:val="0"/>
                <w:caps w:val="0"/>
                <w:color w:val="000000"/>
                <w:spacing w:val="0"/>
                <w:kern w:val="0"/>
                <w:sz w:val="28"/>
                <w:szCs w:val="28"/>
                <w:bdr w:val="none" w:color="auto" w:sz="0" w:space="0"/>
                <w:lang w:val="en-US" w:eastAsia="zh-CN" w:bidi="ar"/>
              </w:rPr>
              <w:t>宜宾临港经开区</w:t>
            </w:r>
            <w:r>
              <w:rPr>
                <w:rFonts w:hint="eastAsia" w:ascii="方正小标宋_GBK" w:hAnsi="方正小标宋_GBK" w:eastAsia="方正小标宋_GBK" w:cs="方正小标宋_GBK"/>
                <w:i w:val="0"/>
                <w:caps w:val="0"/>
                <w:color w:val="000000"/>
                <w:spacing w:val="0"/>
                <w:kern w:val="0"/>
                <w:sz w:val="28"/>
                <w:szCs w:val="28"/>
                <w:bdr w:val="none" w:color="auto" w:sz="0" w:space="0"/>
                <w:lang w:val="en-US" w:eastAsia="zh-CN" w:bidi="ar"/>
              </w:rPr>
              <w:t>2020年公开招用合同制教师岗位表</w:t>
            </w:r>
          </w:p>
        </w:tc>
      </w:tr>
      <w:tr>
        <w:tblPrEx>
          <w:tblCellMar>
            <w:top w:w="0" w:type="dxa"/>
            <w:left w:w="0" w:type="dxa"/>
            <w:bottom w:w="0" w:type="dxa"/>
            <w:right w:w="0" w:type="dxa"/>
          </w:tblCellMar>
        </w:tblPrEx>
        <w:tc>
          <w:tcPr>
            <w:tcW w:w="2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招用单位</w:t>
            </w:r>
          </w:p>
        </w:tc>
        <w:tc>
          <w:tcPr>
            <w:tcW w:w="450" w:type="pct"/>
            <w:gridSpan w:val="2"/>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招用岗位</w:t>
            </w:r>
          </w:p>
        </w:tc>
        <w:tc>
          <w:tcPr>
            <w:tcW w:w="3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岗位代码</w:t>
            </w:r>
          </w:p>
        </w:tc>
        <w:tc>
          <w:tcPr>
            <w:tcW w:w="1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招聘名额</w:t>
            </w:r>
          </w:p>
        </w:tc>
        <w:tc>
          <w:tcPr>
            <w:tcW w:w="2400" w:type="pct"/>
            <w:gridSpan w:val="5"/>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条件要求</w:t>
            </w:r>
          </w:p>
        </w:tc>
        <w:tc>
          <w:tcPr>
            <w:tcW w:w="2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笔试最低开考比例</w:t>
            </w:r>
          </w:p>
        </w:tc>
        <w:tc>
          <w:tcPr>
            <w:tcW w:w="150" w:type="pct"/>
            <w:vMerge w:val="restar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笔试科目</w:t>
            </w:r>
          </w:p>
        </w:tc>
        <w:tc>
          <w:tcPr>
            <w:tcW w:w="2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面试形式</w:t>
            </w:r>
          </w:p>
        </w:tc>
        <w:tc>
          <w:tcPr>
            <w:tcW w:w="6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约定事项</w:t>
            </w:r>
          </w:p>
        </w:tc>
      </w:tr>
      <w:tr>
        <w:tblPrEx>
          <w:tblCellMar>
            <w:top w:w="0" w:type="dxa"/>
            <w:left w:w="0" w:type="dxa"/>
            <w:bottom w:w="0" w:type="dxa"/>
            <w:right w:w="0" w:type="dxa"/>
          </w:tblCellMar>
        </w:tblPrEx>
        <w:tc>
          <w:tcPr>
            <w:tcW w:w="2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eastAsia" w:ascii="Tahoma" w:hAnsi="Tahoma" w:eastAsia="Tahoma" w:cs="Tahoma"/>
                <w:i w:val="0"/>
                <w:caps w:val="0"/>
                <w:color w:val="000000"/>
                <w:spacing w:val="0"/>
                <w:sz w:val="18"/>
                <w:szCs w:val="18"/>
              </w:rPr>
            </w:pP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岗位名称</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岗位类别</w:t>
            </w:r>
          </w:p>
        </w:tc>
        <w:tc>
          <w:tcPr>
            <w:tcW w:w="3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1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学历(学位)要求</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教育形式</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专业条件要求</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最大年龄</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其他</w:t>
            </w:r>
          </w:p>
        </w:tc>
        <w:tc>
          <w:tcPr>
            <w:tcW w:w="2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150" w:type="pct"/>
            <w:vMerge w:val="continue"/>
            <w:tcBorders>
              <w:top w:val="single" w:color="000000" w:sz="8" w:space="0"/>
              <w:left w:val="single" w:color="000000" w:sz="8" w:space="0"/>
              <w:bottom w:val="single" w:color="000000" w:sz="8" w:space="0"/>
              <w:right w:val="single" w:color="000000"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2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6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i w:val="0"/>
                <w:caps w:val="0"/>
                <w:color w:val="000000"/>
                <w:spacing w:val="0"/>
                <w:kern w:val="0"/>
                <w:sz w:val="20"/>
                <w:szCs w:val="20"/>
                <w:bdr w:val="none" w:color="auto" w:sz="0" w:space="0"/>
                <w:lang w:val="en-US" w:eastAsia="zh-CN" w:bidi="ar"/>
              </w:rPr>
              <w:t>宜宾市志城幼儿园</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幼儿教师(一)</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20200701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专科：学前教育；本科：学前教育、幼儿教育</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具有幼儿教师资格证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专业技能面试(幼儿专业技能)</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1.在本单位最低服务年限5年；2.临港区在编和合同制教师不能报考；3.2020年应届生在签订劳动合同后一年内须取得幼儿教师资格证。</w:t>
            </w: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宜宾市志城幼儿园</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幼儿教师(二)</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20200702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专科：学前教育；本科：学前教育、幼儿教育</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具有幼儿教师资格证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专业技能面试(幼儿专业技能)</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1.在本单位最低服务年限5年；2.临港区在编和合同制教师不能报考；3.2020年应届生在签订劳动合同后一年内须取得幼儿教师资格证。</w:t>
            </w: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宜宾市志城幼儿园</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幼儿教师(三)</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20200703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专科：学前教育；本科：学前教育、幼儿教育</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1.限男性；2.具有幼儿教师资格证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专业技能面试(幼儿专业技能)</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1.在本单位最低服务年限5年；2.临港区在编和合同制教师不能报考；3.2020年应届生在签订劳动合同后一年内须取得幼儿教师资格证。</w:t>
            </w: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宜宾市高店中心幼儿园</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20200704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专科：学前教育；本科：学前教育、幼儿教育</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具有幼儿教师资格证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专业技能面试(幼儿专业技能)</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1.在本单位最低服务年限5年；2.临港区在编和合同制教师不能报考；3.2020年应届生在签订劳动合同后一年内须取得幼儿教师资格证。</w:t>
            </w: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宜宾市翠屏区沙坪中心小学校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小学语文教师（一）</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20200705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小学教育、语文教育、汉语言文学、汉语言文学教育、汉语、汉语言、汉语国际教育、应用语言学、初等教育、综合文科教育；本科：小学教育、汉语言文学、汉语言文学教育、汉语、汉语言、汉语国际教育、应用语言学、古典文学、中国语言文化、中国语言文学、初等教育、综合文科教育；研究生：中国语言文学、语言学及应用语言学、汉语言文字学、学科教学（语文）</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具有小学及以上教师资格证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宜宾市翠屏区沙坪中心小学校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小学语文教师（二）</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20200706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小学教育、语文教育、汉语言文学、汉语言文学教育、汉语、汉语言、汉语国际教育、应用语言学、初等教育、综合文科教育；本科：小学教育、汉语言文学、汉语言文学教育、汉语、汉语言、汉语国际教育、应用语言学、古典文学、中国语言文化、中国语言文学、初等教育、综合文科教育；研究生：中国语言文学、语言学及应用语言学、汉语言文字学、学科教学（语文）</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具有小学及以上教师资格证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宜宾市翠屏区沙坪中心小学校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小学数学教师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20200707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大专：数学，数学教育，小学教育；本科：数理基础科学，数学，数学教育，数学与应用数学，应用数学，小学教育；研究生：学科教学（数学），基础数学，应用数学，小学教育。</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具有小学及以上教师资格证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宜宾市翠屏区沙坪中心小学校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小学体育教师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20200708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专科：竞技体育、运动训练、体育教育；本科：体育教育、运动训练、社会体育 、体育管理、社会体育指导与管理；研究生：学科教学（体育），体育教育训练学，体育教学，运动训练。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具有小学及以上教师资格证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宜宾市翠屏区沙坪中心小学校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小学音乐教师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20200709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专科：音乐表演、音乐学、舞蹈表演、舞蹈学；本科：音乐学、音乐表演；研究生：学科教学(音乐)、音乐学、音乐与舞蹈学</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具有小学及以上教师资格证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宜宾市翠屏区沙坪中心小学校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小学信息技术教师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20200710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计算机科学与技术、信息技术应用、数字媒体技术；本科：电子信息科学与技术、计算机科学与技术、计算机科学教育、计算机教育、教育技术学；研究生：（一级学科）计算机科学与技术、（二级学科）教育技术学。</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具有小学及以上教师资格证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宜宾市翠屏区沙坪初级中学校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初中美术教师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20200711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本科：美术学，绘画，美术教育，艺术设计学，环境设计，工艺美术；研究生：学科教学（美术），美术学，美术。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具有初中及以上教师资格证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1.在本单位最低服务年限5年；2.临港区在编和合同制教师不能报考；3.2020年应届生在签订劳动合同后一年内须取得初中及以上对应学科教师资格证。</w:t>
            </w: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宜宾市翠屏区沙坪初级中学校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初中体育教师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20200712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本科：体育教育、运动训练、社会体育 、体育管理、社会体育指导与管理；研究生：学科教学（体育），体育教育训练学，体育教学，运动训练。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具有初中及以上教师资格证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1.在本单位最低服务年限5年；2.临港区在编和合同制教师不能报考；3.2020年应届生在签订劳动合同后一年内须取得初中及以上对应学科教师资格证。</w:t>
            </w: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宜宾市翠屏区沙坪初级中学校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初中信息技术教师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本科：电子信息科学与技术、计算机科学与技术、计算机科学教育、计算机教育、教育技术学；研究生：（一级学科）计算机科学与技术、（二级学科）教育技术学。</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具有初中及以上教师资格证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1.在本单位最低服务年限5年；2.临港区在编和合同制教师不能报考；3.2020年应届生在签订劳动合同后一年内须取得初中及以上对应学科教师资格证。</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宜宾市翠屏区沙坪初级中学校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初中化学教师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20200714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本科：化学（教育）、应用化学、化学生物学 、科学教育；研究生：化学教育、学科教学（化学）、无机化学，分析化学，有机化学，物理化学。</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具有初中及以上教师资格证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1.在本单位最低服务年限5年；2.临港区在编和合同制教师不能报考；3.2020年应届生在签订劳动合同后一年内须取得初中及以上对应学科教师资格证。</w:t>
            </w: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宜宾市翠屏区沙坪初级中学校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初中历史教师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20200715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本科：历史教育、历史学、世界史、世界历史；研究生：（一级学科）历史学、（二级学科）学科教学（历史）。</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具有初中及以上教师资格证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1.在本单位最低服务年限5年；2.临港区在编和合同制教师不能报考；3.2020年应届生在签订劳动合同后一年内须取得初中及以上对应学科教师资格证。</w:t>
            </w: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宜宾市翠屏区沙坪初级中学校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初中英语教师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20200716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本科：英语、英语教育、应用英语、英语语言文学；研究生：英语语言文学、学科教学（英语）。</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具有初中及以上教师资格证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1.在本单位最低服务年限5年；2.临港区在编和合同制教师不能报考；3.2020年应届生在签订劳动合同后一年内须取得初中及以上对应学科教师资格证。</w:t>
            </w: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宜宾市翠屏区沙坪初级中学校</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初中地理教师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20200717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本科：地理科学类（一级学科）、地质学类（一级学科）；研究生：地理科学类（一级学科）地理学类（一级学科）、地质学类（一级学科）</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具有初中及以上教师资格证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1.在本单位最低服务年限5年；2.临港区在编和合同制教师不能报考；3.2020年应届生在签订劳动合同后一年内须取得初中及以上对应学科教师资格证。</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宜宾市第七初级中学校小学部</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小学语文教师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20200718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小学教育、语文教育、汉语言文学、汉语言文学教育、汉语、汉语言、汉语国际教育、应用语言学、初等教育、综合文科教育；本科：小学教育、汉语言文学、汉语言文学教育、汉语、汉语言、汉语国际教育、应用语言学、古典文学、中国语言文化、中国语言文学、初等教育、综合文科教育；研究生：中国语言文学、语言学及应用语言学、汉语言文字学、学科教学（语文）</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具有小学及以上教师资格证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宜宾市第七初级中学校小学部</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小学英语教师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20200719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专科：英语教育、应用英语、商务英语；本科：英语、英语教育、英语语言文学、应用英语；研究生：英语语言文学、学科教学（英语）。</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具有小学及以上教师资格证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宜宾市第七初级中学校小学部</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小学体育教师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20200720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专科：竞技体育、运动训练、体育教育；本科：体育教育、运动训练、社会体育、体育管理、社会体育指导与管理；研究生：学科教学（体育），体育教育训练学，体育教学，运动训练。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具有小学及以上教师资格证和E级及以上足球教练证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宜宾市第七初级中学校小学部</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小学音乐教师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20200721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全日制教育（30周岁及以上教育形式可放宽到国民教育）</w:t>
            </w:r>
          </w:p>
        </w:tc>
        <w:tc>
          <w:tcPr>
            <w:tcW w:w="1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专科：音乐表演、音乐学、舞蹈表演、舞蹈学；本科：音乐学、音乐表演；研究生：学科教学(音乐)、音乐学、音乐与舞蹈学</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35周岁（具有中级及以上专业技术职称可放宽到40周岁）</w:t>
            </w:r>
          </w:p>
        </w:tc>
        <w:tc>
          <w:tcPr>
            <w:tcW w:w="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具有小学及以上教师资格证</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专业技能面试（说课）</w:t>
            </w:r>
          </w:p>
        </w:tc>
        <w:tc>
          <w:tcPr>
            <w:tcW w:w="6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tblCellMar>
            <w:top w:w="0" w:type="dxa"/>
            <w:left w:w="0" w:type="dxa"/>
            <w:bottom w:w="0" w:type="dxa"/>
            <w:right w:w="0" w:type="dxa"/>
          </w:tblCellMar>
        </w:tblPrEx>
        <w:tc>
          <w:tcPr>
            <w:tcW w:w="5000" w:type="pct"/>
            <w:gridSpan w:val="14"/>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eastAsia" w:ascii="新宋体" w:hAnsi="新宋体" w:eastAsia="新宋体" w:cs="新宋体"/>
                <w:b/>
                <w:i w:val="0"/>
                <w:caps w:val="0"/>
                <w:color w:val="000000"/>
                <w:spacing w:val="0"/>
                <w:kern w:val="0"/>
                <w:sz w:val="30"/>
                <w:szCs w:val="30"/>
                <w:bdr w:val="none" w:color="auto" w:sz="0" w:space="0"/>
                <w:lang w:val="en-US" w:eastAsia="zh-CN" w:bidi="ar"/>
              </w:rPr>
              <w:t>合计36</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F1E19"/>
    <w:rsid w:val="12CF1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2020-07-06T01:38:00Z</dcterms:created>
  <dc:creator>Administrator</dc:creator>
  <cp:lastModifiedBy>Administrator</cp:lastModifiedBy>
  <dcterms:modified xsi:type="dcterms:W3CDTF">2020-07-06T02:25:08Z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